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方正小标宋简体" w:hAnsi="方正小标宋简体" w:eastAsia="方正小标宋简体" w:cs="方正小标宋简体"/>
          <w:i w:val="0"/>
          <w:iCs w:val="0"/>
          <w:caps w:val="0"/>
          <w:color w:val="auto"/>
          <w:spacing w:val="0"/>
          <w:sz w:val="32"/>
          <w:szCs w:val="32"/>
        </w:rPr>
      </w:pPr>
      <w:r>
        <w:rPr>
          <w:rFonts w:hint="eastAsia" w:ascii="方正小标宋简体" w:hAnsi="方正小标宋简体" w:eastAsia="方正小标宋简体" w:cs="方正小标宋简体"/>
          <w:i w:val="0"/>
          <w:iCs w:val="0"/>
          <w:caps w:val="0"/>
          <w:color w:val="auto"/>
          <w:spacing w:val="0"/>
          <w:kern w:val="0"/>
          <w:sz w:val="32"/>
          <w:szCs w:val="32"/>
          <w:lang w:val="en-US" w:eastAsia="zh-CN" w:bidi="ar"/>
        </w:rPr>
        <w:t>错那市农业农村领域</w:t>
      </w:r>
      <w:bookmarkStart w:id="0" w:name="_GoBack"/>
      <w:r>
        <w:rPr>
          <w:rFonts w:hint="eastAsia" w:ascii="方正小标宋简体" w:hAnsi="方正小标宋简体" w:eastAsia="方正小标宋简体" w:cs="方正小标宋简体"/>
          <w:i w:val="0"/>
          <w:iCs w:val="0"/>
          <w:caps w:val="0"/>
          <w:color w:val="auto"/>
          <w:spacing w:val="0"/>
          <w:kern w:val="0"/>
          <w:sz w:val="32"/>
          <w:szCs w:val="32"/>
          <w:lang w:val="en-US" w:eastAsia="zh-CN" w:bidi="ar"/>
        </w:rPr>
        <w:t>首次轻微违法行为免罚清单</w:t>
      </w:r>
      <w:bookmarkEnd w:id="0"/>
    </w:p>
    <w:tbl>
      <w:tblPr>
        <w:tblStyle w:val="5"/>
        <w:tblW w:w="8760" w:type="dxa"/>
        <w:tblInd w:w="-24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90"/>
        <w:gridCol w:w="2190"/>
        <w:gridCol w:w="4849"/>
        <w:gridCol w:w="10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6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textAlignment w:val="center"/>
              <w:rPr>
                <w:rFonts w:hint="eastAsia" w:ascii="黑体" w:hAnsi="黑体" w:eastAsia="黑体" w:cs="黑体"/>
                <w:color w:val="auto"/>
                <w:sz w:val="24"/>
                <w:szCs w:val="24"/>
              </w:rPr>
            </w:pPr>
            <w:r>
              <w:rPr>
                <w:rFonts w:hint="eastAsia" w:ascii="黑体" w:hAnsi="黑体" w:eastAsia="黑体" w:cs="黑体"/>
                <w:color w:val="auto"/>
                <w:sz w:val="24"/>
                <w:szCs w:val="24"/>
              </w:rPr>
              <w:t>序号</w:t>
            </w:r>
          </w:p>
        </w:tc>
        <w:tc>
          <w:tcPr>
            <w:tcW w:w="21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textAlignment w:val="center"/>
              <w:rPr>
                <w:rFonts w:hint="eastAsia" w:ascii="黑体" w:hAnsi="黑体" w:eastAsia="黑体" w:cs="黑体"/>
                <w:color w:val="auto"/>
                <w:sz w:val="24"/>
                <w:szCs w:val="24"/>
              </w:rPr>
            </w:pPr>
            <w:r>
              <w:rPr>
                <w:rFonts w:hint="eastAsia" w:ascii="黑体" w:hAnsi="黑体" w:eastAsia="黑体" w:cs="黑体"/>
                <w:color w:val="auto"/>
                <w:sz w:val="24"/>
                <w:szCs w:val="24"/>
              </w:rPr>
              <w:t>违法行为</w:t>
            </w:r>
          </w:p>
        </w:tc>
        <w:tc>
          <w:tcPr>
            <w:tcW w:w="484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textAlignment w:val="center"/>
              <w:rPr>
                <w:rFonts w:hint="eastAsia" w:ascii="黑体" w:hAnsi="黑体" w:eastAsia="黑体" w:cs="黑体"/>
                <w:color w:val="auto"/>
                <w:sz w:val="24"/>
                <w:szCs w:val="24"/>
              </w:rPr>
            </w:pPr>
            <w:r>
              <w:rPr>
                <w:rFonts w:hint="eastAsia" w:ascii="黑体" w:hAnsi="黑体" w:eastAsia="黑体" w:cs="黑体"/>
                <w:color w:val="auto"/>
                <w:sz w:val="24"/>
                <w:szCs w:val="24"/>
              </w:rPr>
              <w:t>适用法律法规规章依据</w:t>
            </w:r>
          </w:p>
        </w:tc>
        <w:tc>
          <w:tcPr>
            <w:tcW w:w="103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textAlignment w:val="center"/>
              <w:rPr>
                <w:rFonts w:hint="eastAsia" w:ascii="黑体" w:hAnsi="黑体" w:eastAsia="黑体" w:cs="黑体"/>
                <w:color w:val="auto"/>
                <w:sz w:val="24"/>
                <w:szCs w:val="24"/>
              </w:rPr>
            </w:pPr>
            <w:r>
              <w:rPr>
                <w:rFonts w:hint="eastAsia" w:ascii="黑体" w:hAnsi="黑体" w:eastAsia="黑体" w:cs="黑体"/>
                <w:color w:val="auto"/>
                <w:sz w:val="24"/>
                <w:szCs w:val="24"/>
              </w:rPr>
              <w:t>适用条件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6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1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畜禽养殖场未建立养殖档案，或者未按照规定保存养殖档案</w:t>
            </w:r>
          </w:p>
        </w:tc>
        <w:tc>
          <w:tcPr>
            <w:tcW w:w="484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华人民共和国畜牧法》第四十一条：畜禽养殖场应当建立养殖档案，载明以下内容：（一）畜禽的品种、数量、繁殖记录、标识情况、来源和进出场日期；（二）饲料、饲料添加剂、兽药等投入品的来源、名称、使用对象、时间和用量；（三）检疫、免疫、消毒情况；（四）畜禽发病、死亡和无害化处理情况；（五）国务院畜牧兽医行政主管部门规定的其他内容。第六十六条：违反本法第四十一条规定，畜禽养殖场未建立养殖档案的，或者未按照规定保存养殖档案的，由县级以上人民政府畜牧兽医行政主管部门责令限期改正，可以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《中华人民共和国动物防疫法》第九十三条：违反本法规定，对经强制免疫的动物未按照规定建立免疫档案，或者未按照规定加施畜禽标识的，依照《中华人民共和国畜牧法》的有关规定处罚。</w:t>
            </w:r>
          </w:p>
        </w:tc>
        <w:tc>
          <w:tcPr>
            <w:tcW w:w="103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2.危害后果轻微；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3.在责令改正期限内改正。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2604" w:hRule="atLeast"/>
        </w:trPr>
        <w:tc>
          <w:tcPr>
            <w:tcW w:w="6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w:t>
            </w:r>
          </w:p>
        </w:tc>
        <w:tc>
          <w:tcPr>
            <w:tcW w:w="21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动物、动物产品的运载工具、垫料、包装物、容器等不符合国务院农业农村主管部门规定的动物防疫要求</w:t>
            </w:r>
          </w:p>
        </w:tc>
        <w:tc>
          <w:tcPr>
            <w:tcW w:w="484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华人民共和国动物防疫法》第九十四条：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tc>
        <w:tc>
          <w:tcPr>
            <w:tcW w:w="103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2.危害后果轻微；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3.按要求及时改正。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6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w:t>
            </w:r>
          </w:p>
        </w:tc>
        <w:tc>
          <w:tcPr>
            <w:tcW w:w="21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种子生产经营者在异地设立分支机构、专门经营不再分装的包装种子或者受委托生产、代销种子，未按规定备案</w:t>
            </w:r>
          </w:p>
        </w:tc>
        <w:tc>
          <w:tcPr>
            <w:tcW w:w="484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华人民共和国种子法》第三十八条第一款：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草原主管部门备案。第七十九条第五项：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产、代销种子，未按规定备案的。</w:t>
            </w:r>
          </w:p>
        </w:tc>
        <w:tc>
          <w:tcPr>
            <w:tcW w:w="103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2.危害后果轻微；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3.按要求及时改正。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6306" w:hRule="atLeast"/>
        </w:trPr>
        <w:tc>
          <w:tcPr>
            <w:tcW w:w="6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w:t>
            </w:r>
          </w:p>
        </w:tc>
        <w:tc>
          <w:tcPr>
            <w:tcW w:w="21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农业投入品使用者未按照规定及时回收肥料等农业投入品的包装废弃物或者农用薄膜，或者未按照规定及时回收农药包装废弃物交由专门的机构或者组织进行无害化处理</w:t>
            </w:r>
          </w:p>
        </w:tc>
        <w:tc>
          <w:tcPr>
            <w:tcW w:w="484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华人民共和国土壤污染防治法》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《农用薄膜管理办法》第二十四条：农用薄膜生产者、销售者、使用者未按照规定回收农用薄膜的，依照《中华人民共和国土壤污染防治法》第八十八条规定处罚。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农药包装废弃物回收处理管理办法》第十九条：农药生产者、经营者、使用者未按规定履行农药包装废弃物回收处理义务的，由地方人民政府农业农村主管部门按照《中华人民共和国土壤污染防治法》第八十八条规定予以处罚。</w:t>
            </w:r>
          </w:p>
        </w:tc>
        <w:tc>
          <w:tcPr>
            <w:tcW w:w="103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2.危害后果轻微；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3.按要求及时改正。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2334" w:hRule="atLeast"/>
        </w:trPr>
        <w:tc>
          <w:tcPr>
            <w:tcW w:w="6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5</w:t>
            </w:r>
          </w:p>
        </w:tc>
        <w:tc>
          <w:tcPr>
            <w:tcW w:w="21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农药经营者不执行农药采购台账、销售台账制度</w:t>
            </w:r>
          </w:p>
        </w:tc>
        <w:tc>
          <w:tcPr>
            <w:tcW w:w="484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农药管理条例》第五十八条第一项：农药经营者有下列行为之一的，由县级以上地方人民政府农业主管部门责令改正；拒不改正或者情节严重的，处2000元以上2万元以下罚款，并由发证机关吊销农药经营许可证：（一）不执行农药采购台账、销售台账制度。</w:t>
            </w:r>
          </w:p>
        </w:tc>
        <w:tc>
          <w:tcPr>
            <w:tcW w:w="103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2.危害后果轻微；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3.在责令改正期限内改正。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2931" w:hRule="atLeast"/>
        </w:trPr>
        <w:tc>
          <w:tcPr>
            <w:tcW w:w="6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6</w:t>
            </w:r>
          </w:p>
        </w:tc>
        <w:tc>
          <w:tcPr>
            <w:tcW w:w="21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侵占、损毁、拆除、擅自移动农作物病虫害监测设施设备或者以其他方式妨害农作物病虫害监测设施设备正常运行</w:t>
            </w:r>
          </w:p>
        </w:tc>
        <w:tc>
          <w:tcPr>
            <w:tcW w:w="484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农作物病虫害防治条例》第四十条：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103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2.危害后果轻微；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3.按要求及时改正。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6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7</w:t>
            </w:r>
          </w:p>
        </w:tc>
        <w:tc>
          <w:tcPr>
            <w:tcW w:w="21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破坏、擅自变动耕地质量监测点基础设施、永久性标志</w:t>
            </w:r>
          </w:p>
        </w:tc>
        <w:tc>
          <w:tcPr>
            <w:tcW w:w="484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南省耕地质量管理条例》第二十七条第二款：任何单位或者个人不得破坏、擅自变动耕地质量监测点基础设施、永久性标志。确实需要对监测点基础设施、永久性标志移位的，应当征得批准设立监测点的农业行政主管部门的同意，并承担所需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第三十二条：违反本条例第二十七条第二款规定的，由县级以上人民政府农业行政主管部门责令恢复原状，可以处一千元以下的罚款；造成损失的，依法承担赔偿责任。</w:t>
            </w:r>
          </w:p>
        </w:tc>
        <w:tc>
          <w:tcPr>
            <w:tcW w:w="103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2.危害后果轻微；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3.按要求及时改正，恢复原状。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6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8</w:t>
            </w:r>
          </w:p>
        </w:tc>
        <w:tc>
          <w:tcPr>
            <w:tcW w:w="21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未按照规定制作和保存生产经营外来物种档案</w:t>
            </w:r>
          </w:p>
        </w:tc>
        <w:tc>
          <w:tcPr>
            <w:tcW w:w="484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南省外来物种管理条例》第三十二条第二项：违反本条例规定，有下列行为之一的，由县级以上人民政府农业、林业或者卫生行政主管部门按照各自职权责令改正，可以处二千元以上一万元以下的罚款：（二）未按照规定制作和保存生产经营外来物种档案的。</w:t>
            </w:r>
          </w:p>
        </w:tc>
        <w:tc>
          <w:tcPr>
            <w:tcW w:w="103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1.首次违法；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2.危害后果轻微；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3.按要求及时改正。</w:t>
            </w:r>
          </w:p>
        </w:tc>
      </w:tr>
    </w:tbl>
    <w:p>
      <w:pPr>
        <w:jc w:val="center"/>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63001"/>
    <w:rsid w:val="0A417434"/>
    <w:rsid w:val="107E65FB"/>
    <w:rsid w:val="1C413A7E"/>
    <w:rsid w:val="28C75AF6"/>
    <w:rsid w:val="33024A12"/>
    <w:rsid w:val="38750761"/>
    <w:rsid w:val="3A1D3B67"/>
    <w:rsid w:val="4A051F37"/>
    <w:rsid w:val="4A4D372E"/>
    <w:rsid w:val="572528F9"/>
    <w:rsid w:val="614E2028"/>
    <w:rsid w:val="665E527D"/>
    <w:rsid w:val="6B80414A"/>
    <w:rsid w:val="7C6B1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2025-11-24T10:21:00Z</dcterms:created>
  <dc:creator>Administrator</dc:creator>
  <cp:lastModifiedBy>Administrator</cp:lastModifiedBy>
  <dcterms:modified xsi:type="dcterms:W3CDTF">2025-11-24T10:56:23Z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TemplateDocerSaveRecord">
    <vt:lpwstr>eyJoZGlkIjoiODk2NTM2MjI4ZjNiOTQwZTEwOGUwYjJmNmI1NTgxMmEiLCJ1c2VySWQiOiI0NjQwNDg2MzkifQ==</vt:lpwstr>
  </property>
  <property fmtid="{D5CDD505-2E9C-101B-9397-08002B2CF9AE}" pid="4" name="ICV">
    <vt:lpwstr>EDC892BDE92C43ADA19AB705B0990D19_12</vt:lpwstr>
  </property>
</Properties>
</file>