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4DF11">
      <w:pPr>
        <w:spacing w:line="576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错那市商务局（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投资促进局）2024</w:t>
      </w:r>
      <w:r>
        <w:rPr>
          <w:rFonts w:hint="eastAsia" w:ascii="方正小标宋简体" w:eastAsia="方正小标宋简体"/>
          <w:sz w:val="44"/>
          <w:szCs w:val="44"/>
        </w:rPr>
        <w:t>年度行政执法统计年报</w:t>
      </w:r>
    </w:p>
    <w:p w14:paraId="00B1C784">
      <w:pPr>
        <w:shd w:val="clear" w:color="auto" w:fill="FFFFFF"/>
        <w:spacing w:before="100" w:beforeAutospacing="1" w:after="100" w:afterAutospacing="1" w:line="576" w:lineRule="exact"/>
        <w:textAlignment w:val="baseline"/>
        <w:outlineLvl w:val="1"/>
        <w:rPr>
          <w:rFonts w:hint="eastAsia" w:ascii="楷体_GB2312" w:hAnsi="Helvetica" w:eastAsia="楷体_GB2312" w:cs="Helvetica"/>
          <w:b/>
          <w:bCs/>
          <w:color w:val="333333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第一部分 </w:t>
      </w:r>
      <w:r>
        <w:rPr>
          <w:rFonts w:hint="eastAsia" w:ascii="楷体_GB2312" w:eastAsia="楷体_GB2312"/>
          <w:sz w:val="32"/>
          <w:szCs w:val="32"/>
          <w:lang w:eastAsia="zh-CN"/>
        </w:rPr>
        <w:t>错那市商务局（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投资促进局）2024</w:t>
      </w:r>
      <w:r>
        <w:rPr>
          <w:rFonts w:hint="eastAsia" w:ascii="楷体_GB2312" w:eastAsia="楷体_GB2312"/>
          <w:sz w:val="32"/>
          <w:szCs w:val="32"/>
        </w:rPr>
        <w:t>年度行政执法数据表</w:t>
      </w:r>
      <w:r>
        <w:rPr>
          <w:rFonts w:hint="eastAsia" w:ascii="楷体_GB2312" w:hAnsi="Helvetica" w:eastAsia="楷体_GB2312" w:cs="Helvetica"/>
          <w:b/>
          <w:bCs/>
          <w:color w:val="333333"/>
          <w:sz w:val="32"/>
          <w:szCs w:val="32"/>
        </w:rPr>
        <w:t xml:space="preserve"> </w:t>
      </w:r>
    </w:p>
    <w:tbl>
      <w:tblPr>
        <w:tblStyle w:val="2"/>
        <w:tblW w:w="5322" w:type="pct"/>
        <w:tblInd w:w="-7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814"/>
        <w:gridCol w:w="1748"/>
        <w:gridCol w:w="2559"/>
        <w:gridCol w:w="1567"/>
        <w:gridCol w:w="1476"/>
        <w:gridCol w:w="1438"/>
        <w:gridCol w:w="1799"/>
      </w:tblGrid>
      <w:tr w14:paraId="72D12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pct"/>
            <w:noWrap w:val="0"/>
            <w:vAlign w:val="top"/>
          </w:tcPr>
          <w:p w14:paraId="1553665E">
            <w:pP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</w:pPr>
          </w:p>
          <w:p w14:paraId="55C01202">
            <w:pP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行政执法实施</w:t>
            </w:r>
          </w:p>
        </w:tc>
        <w:tc>
          <w:tcPr>
            <w:tcW w:w="633" w:type="pct"/>
            <w:noWrap w:val="0"/>
            <w:vAlign w:val="top"/>
          </w:tcPr>
          <w:p w14:paraId="3634902C">
            <w:pP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作出行政</w:t>
            </w:r>
          </w:p>
          <w:p w14:paraId="01D304AA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许可件</w:t>
            </w:r>
            <w:r>
              <w:rPr>
                <w:rFonts w:hint="eastAsia" w:ascii="仿宋" w:hAnsi="仿宋" w:eastAsia="仿宋" w:cs="Helvetica"/>
                <w:b/>
                <w:color w:val="212B36"/>
                <w:sz w:val="28"/>
                <w:szCs w:val="28"/>
              </w:rPr>
              <w:t>数</w:t>
            </w:r>
          </w:p>
        </w:tc>
        <w:tc>
          <w:tcPr>
            <w:tcW w:w="610" w:type="pct"/>
            <w:noWrap w:val="0"/>
            <w:vAlign w:val="top"/>
          </w:tcPr>
          <w:p w14:paraId="5191C443">
            <w:pP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作出</w:t>
            </w: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行政</w:t>
            </w:r>
          </w:p>
          <w:p w14:paraId="23BD3167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处罚件</w:t>
            </w:r>
            <w:r>
              <w:rPr>
                <w:rFonts w:hint="eastAsia" w:ascii="仿宋" w:hAnsi="仿宋" w:eastAsia="仿宋" w:cs="Helvetica"/>
                <w:b/>
                <w:color w:val="212B36"/>
                <w:sz w:val="28"/>
                <w:szCs w:val="28"/>
              </w:rPr>
              <w:t>数</w:t>
            </w:r>
          </w:p>
        </w:tc>
        <w:tc>
          <w:tcPr>
            <w:tcW w:w="893" w:type="pct"/>
            <w:noWrap w:val="0"/>
            <w:vAlign w:val="top"/>
          </w:tcPr>
          <w:p w14:paraId="28789DF5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作出行政强制（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z w:val="28"/>
                <w:szCs w:val="28"/>
              </w:rPr>
              <w:t>行政强制措施、行政强制执行</w:t>
            </w: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）件</w:t>
            </w:r>
            <w:r>
              <w:rPr>
                <w:rFonts w:hint="eastAsia" w:ascii="仿宋" w:hAnsi="仿宋" w:eastAsia="仿宋" w:cs="Helvetica"/>
                <w:b/>
                <w:color w:val="212B36"/>
                <w:sz w:val="28"/>
                <w:szCs w:val="28"/>
              </w:rPr>
              <w:t>数</w:t>
            </w:r>
          </w:p>
        </w:tc>
        <w:tc>
          <w:tcPr>
            <w:tcW w:w="547" w:type="pct"/>
            <w:noWrap w:val="0"/>
            <w:vAlign w:val="top"/>
          </w:tcPr>
          <w:p w14:paraId="5CE7A9EF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作出行政征收件数</w:t>
            </w:r>
          </w:p>
        </w:tc>
        <w:tc>
          <w:tcPr>
            <w:tcW w:w="515" w:type="pct"/>
            <w:noWrap w:val="0"/>
            <w:vAlign w:val="top"/>
          </w:tcPr>
          <w:p w14:paraId="698E0EA8">
            <w:pP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作出</w:t>
            </w: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行政</w:t>
            </w:r>
          </w:p>
          <w:p w14:paraId="07AAD615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征用件数</w:t>
            </w:r>
          </w:p>
        </w:tc>
        <w:tc>
          <w:tcPr>
            <w:tcW w:w="502" w:type="pct"/>
            <w:noWrap w:val="0"/>
            <w:vAlign w:val="top"/>
          </w:tcPr>
          <w:p w14:paraId="501F3BED">
            <w:pP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作出</w:t>
            </w: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行政</w:t>
            </w:r>
          </w:p>
          <w:p w14:paraId="1EEF1876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检查件数</w:t>
            </w:r>
          </w:p>
        </w:tc>
        <w:tc>
          <w:tcPr>
            <w:tcW w:w="628" w:type="pct"/>
            <w:noWrap w:val="0"/>
            <w:vAlign w:val="top"/>
          </w:tcPr>
          <w:p w14:paraId="214BE390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Helvetica"/>
                <w:b/>
                <w:bCs/>
                <w:color w:val="333333"/>
                <w:sz w:val="28"/>
                <w:szCs w:val="28"/>
              </w:rPr>
              <w:t>作出其他行政执法行为件数</w:t>
            </w:r>
          </w:p>
        </w:tc>
      </w:tr>
      <w:tr w14:paraId="5F79F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pct"/>
            <w:noWrap w:val="0"/>
            <w:vAlign w:val="top"/>
          </w:tcPr>
          <w:p w14:paraId="6E644F9A"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数量</w:t>
            </w:r>
          </w:p>
        </w:tc>
        <w:tc>
          <w:tcPr>
            <w:tcW w:w="633" w:type="pct"/>
            <w:noWrap w:val="0"/>
            <w:vAlign w:val="top"/>
          </w:tcPr>
          <w:p w14:paraId="7935DE2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</w:p>
        </w:tc>
        <w:tc>
          <w:tcPr>
            <w:tcW w:w="610" w:type="pct"/>
            <w:noWrap w:val="0"/>
            <w:vAlign w:val="top"/>
          </w:tcPr>
          <w:p w14:paraId="537A9F39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</w:p>
        </w:tc>
        <w:tc>
          <w:tcPr>
            <w:tcW w:w="893" w:type="pct"/>
            <w:noWrap w:val="0"/>
            <w:vAlign w:val="top"/>
          </w:tcPr>
          <w:p w14:paraId="4486F0ED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</w:p>
        </w:tc>
        <w:tc>
          <w:tcPr>
            <w:tcW w:w="547" w:type="pct"/>
            <w:noWrap w:val="0"/>
            <w:vAlign w:val="top"/>
          </w:tcPr>
          <w:p w14:paraId="04FEFDE1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</w:p>
        </w:tc>
        <w:tc>
          <w:tcPr>
            <w:tcW w:w="515" w:type="pct"/>
            <w:noWrap w:val="0"/>
            <w:vAlign w:val="top"/>
          </w:tcPr>
          <w:p w14:paraId="0C854F87">
            <w:pPr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0</w:t>
            </w:r>
          </w:p>
        </w:tc>
        <w:tc>
          <w:tcPr>
            <w:tcW w:w="502" w:type="pct"/>
            <w:noWrap w:val="0"/>
            <w:vAlign w:val="top"/>
          </w:tcPr>
          <w:p w14:paraId="72C3D94D">
            <w:pPr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28" w:type="pct"/>
            <w:noWrap w:val="0"/>
            <w:vAlign w:val="top"/>
          </w:tcPr>
          <w:p w14:paraId="1B009879">
            <w:pPr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1DBD5F33">
      <w:pPr>
        <w:shd w:val="clear" w:color="auto" w:fill="FFFFFF"/>
        <w:spacing w:before="100" w:beforeAutospacing="1" w:after="100" w:afterAutospacing="1" w:line="576" w:lineRule="exact"/>
        <w:textAlignment w:val="baseline"/>
        <w:outlineLvl w:val="1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第二部分 </w:t>
      </w:r>
      <w:r>
        <w:rPr>
          <w:rFonts w:hint="eastAsia" w:ascii="楷体_GB2312" w:eastAsia="楷体_GB2312"/>
          <w:sz w:val="32"/>
          <w:szCs w:val="32"/>
          <w:lang w:eastAsia="zh-CN"/>
        </w:rPr>
        <w:t>错那市商务局（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投资促进局）2024</w:t>
      </w:r>
      <w:r>
        <w:rPr>
          <w:rFonts w:hint="eastAsia" w:ascii="楷体_GB2312" w:eastAsia="楷体_GB2312"/>
          <w:sz w:val="32"/>
          <w:szCs w:val="32"/>
        </w:rPr>
        <w:t>年度行政执法情况说明</w:t>
      </w:r>
    </w:p>
    <w:p w14:paraId="355A7879"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2024年作出行政许可0件，无行政收、征用职权。</w:t>
      </w:r>
    </w:p>
    <w:p w14:paraId="3C19D138"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年度实施行政处罚0宗，行政强制0宗。</w:t>
      </w:r>
    </w:p>
    <w:p w14:paraId="56C1EBA9"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三、本部门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年度行政检查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次。</w:t>
      </w:r>
    </w:p>
    <w:p w14:paraId="50326C99"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年度行政给付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次。</w:t>
      </w:r>
    </w:p>
    <w:p w14:paraId="7445BAB1">
      <w:pPr>
        <w:spacing w:line="576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五、本部门202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年度无被申请行政复议或直接被提起行政诉讼的情况。</w:t>
      </w:r>
    </w:p>
    <w:p w14:paraId="08327EDF">
      <w:bookmarkStart w:id="0" w:name="_GoBack"/>
      <w:bookmarkEnd w:id="0"/>
    </w:p>
    <w:sectPr>
      <w:pgSz w:w="16838" w:h="11906" w:orient="landscape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DD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2025-01-26T04:21:49Z</dcterms:created>
  <dc:creator>huawei</dc:creator>
  <cp:lastModifiedBy>࿐ལང༌ཚོའི༌རྨི༌ལམ༎</cp:lastModifiedBy>
  <dcterms:modified xsi:type="dcterms:W3CDTF">2025-01-26T04:22:04Z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eyJoZGlkIjoiOGU0ZTY0MWNkYzQ0YWVmNjRkNTMxNzBkNDE0Y2U0OWMiLCJ1c2VySWQiOiIzMDkwODc3MjcifQ==</vt:lpwstr>
  </property>
  <property fmtid="{D5CDD505-2E9C-101B-9397-08002B2CF9AE}" pid="4" name="ICV">
    <vt:lpwstr>4F31C89C9B6C4DC3AA89DEE010F4C5C4_12</vt:lpwstr>
  </property>
</Properties>
</file>